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7F" w:rsidRPr="0080407F" w:rsidRDefault="0080407F" w:rsidP="0080407F">
      <w:pPr>
        <w:spacing w:after="0" w:line="240" w:lineRule="auto"/>
        <w:jc w:val="center"/>
        <w:rPr>
          <w:rFonts w:ascii="Verdana" w:hAnsi="Verdana" w:cs="Times New Roman"/>
          <w:b/>
          <w:bCs/>
          <w:sz w:val="21"/>
          <w:szCs w:val="21"/>
          <w:lang w:eastAsia="ru-RU"/>
        </w:rPr>
      </w:pPr>
      <w:r w:rsidRPr="0080407F">
        <w:rPr>
          <w:rFonts w:ascii="Arial" w:hAnsi="Arial" w:cs="Arial"/>
          <w:b/>
          <w:bCs/>
          <w:sz w:val="24"/>
          <w:szCs w:val="24"/>
          <w:lang w:eastAsia="ru-RU"/>
        </w:rPr>
        <w:t>ФЕДЕРАЛЬНАЯ СЛУЖБА ПО НАДЗОРУ В СФЕРЕ ЗДРАВООХРАНЕНИЯ</w:t>
      </w:r>
    </w:p>
    <w:p w:rsidR="0080407F" w:rsidRPr="0080407F" w:rsidRDefault="0080407F" w:rsidP="0080407F">
      <w:pPr>
        <w:spacing w:after="0" w:line="240" w:lineRule="auto"/>
        <w:jc w:val="center"/>
        <w:rPr>
          <w:rFonts w:ascii="Verdana" w:hAnsi="Verdana" w:cs="Times New Roman"/>
          <w:b/>
          <w:bCs/>
          <w:sz w:val="21"/>
          <w:szCs w:val="21"/>
          <w:lang w:eastAsia="ru-RU"/>
        </w:rPr>
      </w:pPr>
    </w:p>
    <w:p w:rsidR="0080407F" w:rsidRPr="0080407F" w:rsidRDefault="0080407F" w:rsidP="0080407F">
      <w:pPr>
        <w:spacing w:after="0" w:line="240" w:lineRule="auto"/>
        <w:jc w:val="center"/>
        <w:rPr>
          <w:rFonts w:ascii="Verdana" w:hAnsi="Verdana" w:cs="Times New Roman"/>
          <w:b/>
          <w:bCs/>
          <w:sz w:val="21"/>
          <w:szCs w:val="21"/>
          <w:lang w:eastAsia="ru-RU"/>
        </w:rPr>
      </w:pPr>
      <w:r w:rsidRPr="0080407F">
        <w:rPr>
          <w:rFonts w:ascii="Arial" w:hAnsi="Arial" w:cs="Arial"/>
          <w:b/>
          <w:bCs/>
          <w:sz w:val="24"/>
          <w:szCs w:val="24"/>
          <w:lang w:eastAsia="ru-RU"/>
        </w:rPr>
        <w:t>ИНФОРМАЦИЯ</w:t>
      </w:r>
    </w:p>
    <w:p w:rsidR="0080407F" w:rsidRDefault="0080407F" w:rsidP="0080407F">
      <w:pPr>
        <w:pStyle w:val="2"/>
        <w:ind w:left="0"/>
      </w:pPr>
    </w:p>
    <w:p w:rsidR="0080407F" w:rsidRPr="0080407F" w:rsidRDefault="0080407F" w:rsidP="0080407F">
      <w:pPr>
        <w:jc w:val="center"/>
        <w:rPr>
          <w:rFonts w:ascii="Arial" w:hAnsi="Arial" w:cs="Arial"/>
          <w:b/>
          <w:sz w:val="24"/>
          <w:szCs w:val="24"/>
        </w:rPr>
      </w:pPr>
      <w:r w:rsidRPr="0080407F">
        <w:rPr>
          <w:rFonts w:ascii="Arial" w:hAnsi="Arial" w:cs="Arial"/>
          <w:b/>
          <w:sz w:val="24"/>
          <w:szCs w:val="24"/>
        </w:rPr>
        <w:t>от 4 июня 2020 года</w:t>
      </w:r>
    </w:p>
    <w:p w:rsidR="0080407F" w:rsidRDefault="0080407F" w:rsidP="0080407F">
      <w:pPr>
        <w:pStyle w:val="2"/>
        <w:ind w:left="0"/>
      </w:pPr>
      <w:r>
        <w:t>Росздравнадзор разъясняет правила и условия дистанционной торговли лекарственных препаратов</w:t>
      </w:r>
    </w:p>
    <w:p w:rsidR="003532AA" w:rsidRPr="0080407F" w:rsidRDefault="003532AA" w:rsidP="0080407F">
      <w:pPr>
        <w:ind w:firstLine="567"/>
        <w:jc w:val="both"/>
        <w:rPr>
          <w:rFonts w:ascii="Arial" w:hAnsi="Arial" w:cs="Arial"/>
          <w:sz w:val="24"/>
          <w:szCs w:val="24"/>
        </w:rPr>
      </w:pP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В настоящее время на территории Российской Федерации розничной торговлей лекарственными препаратами для медицинского применения занимаются 21932 организации, имеющих 110898 точек реализации.</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С 24 мая текущего года Росздравнадзор приступил к реализации положений постановления Правительства Российской Федерации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Указанными Правилами установлен порядок выдачи разрешения на розничную торговлю лекарственными препаратами дистанционным способом, а также требования к аптечным организациям, которые могут ее осуществлять.</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В частности, аптечные организации должны иметь:</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лицензию на осуществление фармацевтической деятельности (не менее года);</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не менее 10 мест осуществления фармацевтической деятельности на территории Российской Федерации;</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оборудованные помещения (место) для хранения сформированных заказов;</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сайт в сети "Интернет" (допускается наличие мобильного приложения);</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собственная курьерская служба, имеющая оборудование, обеспечивающее поддержание необходимого температурного режима для доставки термолабильных лекарственных препаратов, или договор со службой курьерской доставки, имеющей такое оборудование;</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 электронную систему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Для получения разрешения на осуществление дистанционной розничной торговли лекарственными препаратами аптечная организация должна направить в электронном виде в Росздравнадзор заявление и документы, подтверждающие ее соответствие установленным требованиям.</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Заявление по государственной услуге «Разрешение на дистанционную торговлю лекарственными препаратами» можно подать на официальном сайте Росздравнадзора в разделе «Электронные сервисы» </w:t>
      </w:r>
      <w:hyperlink r:id="rId6" w:history="1">
        <w:r w:rsidRPr="0080407F">
          <w:rPr>
            <w:rStyle w:val="a9"/>
            <w:rFonts w:ascii="Arial" w:hAnsi="Arial" w:cs="Arial"/>
            <w:sz w:val="24"/>
            <w:szCs w:val="24"/>
          </w:rPr>
          <w:t>https://roszdravnadzor.ru/services</w:t>
        </w:r>
      </w:hyperlink>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lastRenderedPageBreak/>
        <w:t>Решение о выдаче или об отказе в выдаче разрешения принимается Росздравнадзором в течение 5 рабочих дней.</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Следует отметить, что дистанционная торговля запрещена для препаратов, отпускаемых по рецепту, наркотических и психотропных лекарственных средств, а также для спиртосодержащих лекарственных препаратов с объемной долей этилового спирта свыше 25 процентов.</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В настоящее время за получением разрешения на дистанционную торговлю ЛС в Росздравнадзор обратились 50 аптечных организаций (г. Москва, Московская область, Пензенская область, Сахалинская область, Краснодарский край, Амурская область, г. Санкт-Петербург, Ленинградская область, Самарская область, Новосибирская область, Хабаровский край, Республика Татарстан), 20 из которых уже получили разрешение, остальные заявления находятся на стадии рассмотрения.</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Подчеркиваем, что гражданам необходимо руководствоваться рядом правил, чтобы быть уверенными в приобретении качественного и безопасного лекарственного препарата.</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В частности, при оплате лекарственного препарата покупателем в безналичной форме (за исключением оплаты с использованием банковской карты) продавец обязан подтвердить передачу товара путем составления накладной или акта сдачи-приемки товара.</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При получении заказа покупатель обязательно должен проверить целостность транспортной упаковки, самостоятельно вскрыть ее и  сверить содержимое заказа с описью вложения, проверить отсутствие повреждений вторичной (потребительской) и первичной упаковок лекарственного препарата, общий надлежащий вид товара.</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При получении заказа, содержащего термолабильный лекарственный препарат, покупатель должен попросить работника, осуществляющего доставку, продемонстрировать соответствие температурного режима, при котором хранился лекарственный препарат при доставке, условиям хранения, указанным на его вторичной (потребительской) упаковке.</w:t>
      </w:r>
    </w:p>
    <w:p w:rsidR="0080407F" w:rsidRPr="0080407F" w:rsidRDefault="0080407F" w:rsidP="0080407F">
      <w:pPr>
        <w:ind w:firstLine="567"/>
        <w:jc w:val="both"/>
        <w:rPr>
          <w:rFonts w:ascii="Arial" w:hAnsi="Arial" w:cs="Arial"/>
          <w:sz w:val="24"/>
          <w:szCs w:val="24"/>
        </w:rPr>
      </w:pPr>
      <w:r w:rsidRPr="0080407F">
        <w:rPr>
          <w:rFonts w:ascii="Arial" w:hAnsi="Arial" w:cs="Arial"/>
          <w:sz w:val="24"/>
          <w:szCs w:val="24"/>
        </w:rPr>
        <w:t>В случае доставки заказа ненадлежащего качества (ненадлежащее качество лекарственного препарата, доставленный заказ не соответствует заказанному по количеству или составу) покупатель вправе вернуть его работнику, осуществляющему доставку, без оплаты доставленного лекарственного препарата и (или) услуги по его доставке и (или) потребовать надлежащее исполнение заказа.</w:t>
      </w:r>
    </w:p>
    <w:p w:rsidR="0080407F" w:rsidRPr="0080407F" w:rsidRDefault="0080407F" w:rsidP="0080407F">
      <w:pPr>
        <w:ind w:firstLine="567"/>
        <w:jc w:val="both"/>
        <w:rPr>
          <w:rFonts w:ascii="Arial" w:hAnsi="Arial" w:cs="Arial"/>
          <w:sz w:val="24"/>
          <w:szCs w:val="24"/>
          <w:lang w:val="en-US"/>
        </w:rPr>
      </w:pPr>
      <w:r>
        <w:rPr>
          <w:rFonts w:ascii="Arial" w:hAnsi="Arial" w:cs="Arial"/>
          <w:sz w:val="24"/>
          <w:szCs w:val="24"/>
          <w:lang w:val="en-US"/>
        </w:rPr>
        <w:t>_____________________________________________________________________</w:t>
      </w:r>
    </w:p>
    <w:sectPr w:rsidR="0080407F" w:rsidRPr="0080407F" w:rsidSect="0080407F">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DA" w:rsidRDefault="004B3ADA" w:rsidP="0080407F">
      <w:pPr>
        <w:spacing w:after="0" w:line="240" w:lineRule="auto"/>
      </w:pPr>
      <w:r>
        <w:separator/>
      </w:r>
    </w:p>
  </w:endnote>
  <w:endnote w:type="continuationSeparator" w:id="0">
    <w:p w:rsidR="004B3ADA" w:rsidRDefault="004B3ADA" w:rsidP="0080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7F" w:rsidRPr="0080407F" w:rsidRDefault="0080407F">
    <w:pPr>
      <w:pStyle w:val="a7"/>
      <w:rPr>
        <w:lang w:val="en-US"/>
      </w:rPr>
    </w:pPr>
    <w:r>
      <w:t>Источник</w:t>
    </w:r>
    <w:r>
      <w:rPr>
        <w:lang w:val="en-US"/>
      </w:rPr>
      <w:t xml:space="preserve">: </w:t>
    </w:r>
    <w:hyperlink r:id="rId1" w:history="1">
      <w:r w:rsidRPr="0080407F">
        <w:rPr>
          <w:color w:val="0000FF"/>
          <w:u w:val="single"/>
        </w:rPr>
        <w:t>https://roszdravnadzor.ru/news/22053</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DA" w:rsidRDefault="004B3ADA" w:rsidP="0080407F">
      <w:pPr>
        <w:spacing w:after="0" w:line="240" w:lineRule="auto"/>
      </w:pPr>
      <w:r>
        <w:separator/>
      </w:r>
    </w:p>
  </w:footnote>
  <w:footnote w:type="continuationSeparator" w:id="0">
    <w:p w:rsidR="004B3ADA" w:rsidRDefault="004B3ADA" w:rsidP="00804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407F"/>
    <w:rsid w:val="003532AA"/>
    <w:rsid w:val="004B3ADA"/>
    <w:rsid w:val="004B7CA1"/>
    <w:rsid w:val="0055667A"/>
    <w:rsid w:val="006B5085"/>
    <w:rsid w:val="00722500"/>
    <w:rsid w:val="0080407F"/>
    <w:rsid w:val="008C5866"/>
    <w:rsid w:val="008F00B5"/>
    <w:rsid w:val="008F0535"/>
    <w:rsid w:val="00A42216"/>
    <w:rsid w:val="00DE5F60"/>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locked/>
    <w:rsid w:val="00722500"/>
    <w:rPr>
      <w:rFonts w:ascii="Arial" w:hAnsi="Arial" w:cs="Arial"/>
      <w:b/>
      <w:caps/>
      <w:sz w:val="24"/>
      <w:szCs w:val="24"/>
    </w:rPr>
  </w:style>
  <w:style w:type="character" w:styleId="ab">
    <w:name w:val="Strong"/>
    <w:basedOn w:val="a0"/>
    <w:uiPriority w:val="22"/>
    <w:qFormat/>
    <w:rsid w:val="0080407F"/>
    <w:rPr>
      <w:rFonts w:cs="Times New Roman"/>
      <w:b/>
      <w:bCs/>
    </w:rPr>
  </w:style>
</w:styles>
</file>

<file path=word/webSettings.xml><?xml version="1.0" encoding="utf-8"?>
<w:webSettings xmlns:r="http://schemas.openxmlformats.org/officeDocument/2006/relationships" xmlns:w="http://schemas.openxmlformats.org/wordprocessingml/2006/main">
  <w:divs>
    <w:div w:id="1863320738">
      <w:marLeft w:val="0"/>
      <w:marRight w:val="0"/>
      <w:marTop w:val="0"/>
      <w:marBottom w:val="0"/>
      <w:divBdr>
        <w:top w:val="none" w:sz="0" w:space="0" w:color="auto"/>
        <w:left w:val="none" w:sz="0" w:space="0" w:color="auto"/>
        <w:bottom w:val="none" w:sz="0" w:space="0" w:color="auto"/>
        <w:right w:val="none" w:sz="0" w:space="0" w:color="auto"/>
      </w:divBdr>
    </w:div>
    <w:div w:id="1863320739">
      <w:marLeft w:val="0"/>
      <w:marRight w:val="0"/>
      <w:marTop w:val="0"/>
      <w:marBottom w:val="0"/>
      <w:divBdr>
        <w:top w:val="none" w:sz="0" w:space="0" w:color="auto"/>
        <w:left w:val="none" w:sz="0" w:space="0" w:color="auto"/>
        <w:bottom w:val="none" w:sz="0" w:space="0" w:color="auto"/>
        <w:right w:val="none" w:sz="0" w:space="0" w:color="auto"/>
      </w:divBdr>
    </w:div>
    <w:div w:id="1863320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zdravnadzor.ru/serv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oszdravnadzor.ru/news/22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Company>NPO</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2020-06-05T04:44:00Z</dcterms:created>
  <dcterms:modified xsi:type="dcterms:W3CDTF">2020-06-05T04:44:00Z</dcterms:modified>
</cp:coreProperties>
</file>