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1D" w:rsidRPr="00C86B1D" w:rsidRDefault="00C86B1D" w:rsidP="00C86B1D">
      <w:pPr>
        <w:spacing w:after="0" w:line="240" w:lineRule="auto"/>
        <w:jc w:val="right"/>
        <w:rPr>
          <w:rFonts w:ascii="Verdana" w:hAnsi="Verdana" w:cs="Times New Roman"/>
          <w:sz w:val="21"/>
          <w:szCs w:val="21"/>
          <w:lang w:eastAsia="ru-RU"/>
        </w:rPr>
      </w:pPr>
      <w:r w:rsidRPr="00C86B1D">
        <w:rPr>
          <w:rFonts w:ascii="Times New Roman" w:hAnsi="Times New Roman" w:cs="Times New Roman"/>
          <w:sz w:val="24"/>
          <w:szCs w:val="24"/>
          <w:lang w:eastAsia="ru-RU"/>
        </w:rPr>
        <w:t>Утвержден</w:t>
      </w:r>
    </w:p>
    <w:p w:rsidR="00C86B1D" w:rsidRPr="00C86B1D" w:rsidRDefault="00C86B1D" w:rsidP="00C86B1D">
      <w:pPr>
        <w:spacing w:after="0" w:line="240" w:lineRule="auto"/>
        <w:jc w:val="right"/>
        <w:rPr>
          <w:rFonts w:ascii="Verdana" w:hAnsi="Verdana" w:cs="Times New Roman"/>
          <w:sz w:val="21"/>
          <w:szCs w:val="21"/>
          <w:lang w:eastAsia="ru-RU"/>
        </w:rPr>
      </w:pPr>
      <w:r w:rsidRPr="00C86B1D">
        <w:rPr>
          <w:rFonts w:ascii="Times New Roman" w:hAnsi="Times New Roman" w:cs="Times New Roman"/>
          <w:sz w:val="24"/>
          <w:szCs w:val="24"/>
          <w:lang w:eastAsia="ru-RU"/>
        </w:rPr>
        <w:t>Президентом РФ</w:t>
      </w:r>
    </w:p>
    <w:p w:rsidR="00C86B1D" w:rsidRPr="00C86B1D" w:rsidRDefault="00017293" w:rsidP="00C86B1D">
      <w:pPr>
        <w:spacing w:after="0" w:line="240" w:lineRule="auto"/>
        <w:jc w:val="right"/>
        <w:rPr>
          <w:rFonts w:ascii="Verdana" w:hAnsi="Verdana" w:cs="Times New Roman"/>
          <w:sz w:val="21"/>
          <w:szCs w:val="21"/>
          <w:lang w:eastAsia="ru-RU"/>
        </w:rPr>
      </w:pPr>
      <w:r>
        <w:rPr>
          <w:rFonts w:ascii="Times New Roman" w:hAnsi="Times New Roman" w:cs="Times New Roman"/>
          <w:sz w:val="24"/>
          <w:szCs w:val="24"/>
          <w:lang w:val="en-US" w:eastAsia="ru-RU"/>
        </w:rPr>
        <w:t>29</w:t>
      </w:r>
      <w:r w:rsidR="00C86B1D" w:rsidRPr="00C86B1D">
        <w:rPr>
          <w:rFonts w:ascii="Times New Roman" w:hAnsi="Times New Roman" w:cs="Times New Roman"/>
          <w:sz w:val="24"/>
          <w:szCs w:val="24"/>
          <w:lang w:eastAsia="ru-RU"/>
        </w:rPr>
        <w:t>.0</w:t>
      </w:r>
      <w:r>
        <w:rPr>
          <w:rFonts w:ascii="Times New Roman" w:hAnsi="Times New Roman" w:cs="Times New Roman"/>
          <w:sz w:val="24"/>
          <w:szCs w:val="24"/>
          <w:lang w:val="en-US" w:eastAsia="ru-RU"/>
        </w:rPr>
        <w:t>5</w:t>
      </w:r>
      <w:r w:rsidR="00C86B1D">
        <w:rPr>
          <w:rFonts w:ascii="Times New Roman" w:hAnsi="Times New Roman" w:cs="Times New Roman"/>
          <w:sz w:val="24"/>
          <w:szCs w:val="24"/>
          <w:lang w:eastAsia="ru-RU"/>
        </w:rPr>
        <w:t>.2020</w:t>
      </w:r>
    </w:p>
    <w:p w:rsidR="00C86B1D" w:rsidRDefault="00C86B1D" w:rsidP="00C86B1D">
      <w:pPr>
        <w:pStyle w:val="2"/>
        <w:ind w:left="0"/>
        <w:rPr>
          <w:lang w:eastAsia="ru-RU"/>
        </w:rPr>
      </w:pPr>
    </w:p>
    <w:p w:rsidR="00C86B1D" w:rsidRPr="00C86B1D" w:rsidRDefault="00C86B1D" w:rsidP="00C86B1D">
      <w:pPr>
        <w:pStyle w:val="2"/>
        <w:ind w:left="0"/>
        <w:rPr>
          <w:lang w:eastAsia="ru-RU"/>
        </w:rPr>
      </w:pPr>
      <w:r w:rsidRPr="00C86B1D">
        <w:rPr>
          <w:lang w:eastAsia="ru-RU"/>
        </w:rPr>
        <w:t>Перечень Поручений по итогам совещания по вопросам развития транспорта</w:t>
      </w:r>
    </w:p>
    <w:p w:rsidR="003532AA" w:rsidRDefault="003532AA" w:rsidP="00C86B1D">
      <w:pPr>
        <w:pStyle w:val="2"/>
        <w:ind w:left="0"/>
      </w:pPr>
    </w:p>
    <w:p w:rsidR="00C86B1D" w:rsidRPr="00C86B1D" w:rsidRDefault="00C86B1D" w:rsidP="00C86B1D">
      <w:pPr>
        <w:ind w:firstLine="567"/>
        <w:jc w:val="both"/>
        <w:rPr>
          <w:rFonts w:ascii="Arial" w:hAnsi="Arial" w:cs="Arial"/>
          <w:sz w:val="24"/>
          <w:szCs w:val="24"/>
          <w:shd w:val="clear" w:color="auto" w:fill="FEFEFE"/>
        </w:rPr>
      </w:pPr>
      <w:r w:rsidRPr="00C86B1D">
        <w:rPr>
          <w:rFonts w:ascii="Arial" w:hAnsi="Arial" w:cs="Arial"/>
          <w:sz w:val="24"/>
          <w:szCs w:val="24"/>
          <w:shd w:val="clear" w:color="auto" w:fill="FEFEFE"/>
        </w:rPr>
        <w:t>Президент утвердил перечень поручений по итогам </w:t>
      </w:r>
      <w:hyperlink r:id="rId6" w:history="1">
        <w:r w:rsidRPr="00C86B1D">
          <w:rPr>
            <w:rFonts w:ascii="Arial" w:hAnsi="Arial" w:cs="Arial"/>
            <w:sz w:val="24"/>
            <w:szCs w:val="24"/>
            <w:u w:val="single"/>
            <w:shd w:val="clear" w:color="auto" w:fill="FEFEFE"/>
          </w:rPr>
          <w:t>совещания</w:t>
        </w:r>
      </w:hyperlink>
      <w:r w:rsidRPr="00C86B1D">
        <w:rPr>
          <w:rFonts w:ascii="Arial" w:hAnsi="Arial" w:cs="Arial"/>
          <w:sz w:val="24"/>
          <w:szCs w:val="24"/>
          <w:shd w:val="clear" w:color="auto" w:fill="FEFEFE"/>
        </w:rPr>
        <w:t> по вопросам развития транспорта 7 мая 2020 года.</w:t>
      </w:r>
    </w:p>
    <w:p w:rsidR="00C86B1D" w:rsidRPr="00C86B1D" w:rsidRDefault="00C86B1D" w:rsidP="00C86B1D">
      <w:pPr>
        <w:shd w:val="clear" w:color="auto" w:fill="FEFEFE"/>
        <w:spacing w:after="435"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1. Правительству Российской Федерации:</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а) включить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(COVID-19), следующие виды экономической деятельности: деятельность по перевозке пассажиров железнодорожным транспортом, а также деятельность внутреннего водного транспорта.</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Срок – 10 июня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б) включить в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меры по развитию транзитных перевозок контейнеров, обеспечив равную доступность указанных мер для организаций всех видов транспорта;</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меры по восстановлению и стимулированию развития внутреннего и въездного туризма.</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Срок – 1 июля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в) с учетом ранее данных поручений обеспечить в полном объеме сохранение всех мероприятий по развитию и поддержанию в нормативном состоянии объектов транспортной инфраструктуры, обновлению парка транспортных средств, предусмотренных национальным проектом «Безопасные и качественные автомобильные дороги» и транспортной частью комплексного плана модернизации и расширения магистральной инфраструктуры на период до 2024 года.</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Доклад – до 1 сентября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г) обеспечить выделение из федерального бюджета:</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бюджетных ассигнований в объеме 10,9 млрд. рублей на предоставление в 2020 году субсидий пострадавшим в связи с падением объемов пассажирских воздушных перевозок в результате распространения новой коронавирусной инфекции (COVTD-19) российским аэропортам для компенсации части затрат, возникших во II квартале 2020 г., в том числе для выплаты заработной платы работникам аэропортов, уплаты страховых взносов в государственные внебюджетные фонды, а также для осуществления иных обязательных платежей, при условии сохранения во II квартале 2020 г. не менее 90 процентов численности (штата) работников аэропортов (по состоянию на 1 января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бюджетных ассигнований в объеме 320 млн. рублей на осуществление в 2020 году финансовой поддержки российских судоходных компаний, осуществляющих морские и речные круизные перевозки, в целях компенсации их расходов по договорам, заключенным этими судоходными компаниями с российскими лизинговыми компаниями;</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 xml:space="preserve">бюджетных ассигнований в объеме до 1 млрд. рублей в 2020 году в рамках национального проекта (программы) «Международная кооперация и экспорт» и транспортной части комплексного плана модернизации и расширения магистральной </w:t>
      </w:r>
      <w:r w:rsidRPr="00C86B1D">
        <w:rPr>
          <w:rFonts w:ascii="Arial" w:hAnsi="Arial" w:cs="Arial"/>
          <w:color w:val="020C22"/>
          <w:sz w:val="24"/>
          <w:szCs w:val="24"/>
          <w:lang w:eastAsia="ru-RU"/>
        </w:rPr>
        <w:lastRenderedPageBreak/>
        <w:t>инфраструктуры на период до 2024 года на субсидирование транзитной перевозки контейнеров через территорию Российской Федерации.</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Доклад – до 10 июня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д) направлять сэкономленные в течение 2020 года средства федерального бюджета, предусмотренные на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 на компенсацию выпадающих доходов пригородных пассажирских железнодорожных компаний, в том числе 3,24 млрд. рублей на лизинговые платежи по договорам, заключенным этими железнодорожными компаниями с российскими лизинговыми компаниями.</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Доклад – до 1 сентября 2020 г. и до 20 января 2021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е) выделить в 2020 году открытому акционерному обществу «Российские железные дороги» 60,5 млрд. рублей из Фонда национального благосостояния на реализацию проекта по развитию железнодорожной инфраструктуры Байкало-Амурской и Транссибирской железнодорожных магистралей, в том числе 30,5 млрд. рублей, предусмотренных на 2021 год в Фонде национального благосостояния на указанные цели, а также определить порядок использования этих средств.</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Срок – 15 июня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ж) обеспечить принятие Государственной Думой Федерального Собрания Российской Федерации федерального закона «О внесении изменений в отдельные законодательные акты Российской Федерации в части, касающейся оформления единой электронной визы и въезда в Российскую Федерацию иностранных граждан на основании единой электронной визы, и признании утратившими силу отдельных положений законодательных актов Российской Федерации» (законопроект № 945923–7).</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Срок – 1 октября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з) обеспечить внесение в законодательство Российской Федерации изменений, предусматривающих перенос на 1 октября 2020 г. срока вступления в силу положений Кодекса Российской Федерации об административных правонарушениях, устанавливающих административную ответственность за неприменение контрольно-кассовой техники при осуществлении водителем или кондуктором расчетов в салоне транспортного средства при реализации проездных документов (билетов) и талонов для проезда в общественном транспорте.</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Доклад – до 20 июня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и) обеспечить введение моратория на установление в 2020 – 2021 годах новых требований к находящемуся в эксплуатации железнодорожному подвижному составу, которые могут повлечь за собой увеличение стоимости его содержания.</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Срок – 15 июня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к) представить предложения по созданию механизма стимулирования перевозок угля на экспорт через порты Северо-Запада и Юга России.</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Срок – 15 июня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л) ускорить решение вопроса о создании портовой особой экономической зоны на территории Астраханской области в районе морского порта Оля;</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м) принять меры по недопущению необоснованной задержки возмещения налога на добавленную стоимость при экспорте транспортных услуг российскими судоходными компаниями.</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Доклад – до 15 июля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Ответственный: Мишустин М.В.</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2. Правительству Российской Федерации при участии Общероссийской общественной организации «Российский союз промышленников и предпринимателей»:</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а) рассмотреть вопросы, касающиеся:</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lastRenderedPageBreak/>
        <w:t>распространения мер поддержки, предусмотренных для субъектов малого и среднего предпринимательства,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(COVID-19), на организации, осуществляющие деятельность по перевозке граждан на железнодорожном транспорте в пригородном сообщении, на внутреннем водном и общественном транспорте, не являющиеся такими субъектами;</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выделения в 2020 году из федерального бюджета бюджетных ассигнований на оказание российским судоходным компаниям, осуществляющим речные круизные перевозки, финансовой поддержки для выплаты заработной платы работникам этих компаний, уплаты страховых взносов в государственные внебюджетные фонды, а также для осуществления иных обязательных платежей в целях сохранения численности работников указанных компаний в период навигации;</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установления на период до 2022 года ставки налога на добавленную стоимость в размере 0 процентов в отношении операций по реализации лицам, не проживающим постоянно в Российской Федерации, туристского продукта, предусматривающего перевозку и размещение туристов на круизных морских и речных судах;</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предоставления налогового вычета в размере стоимости контрольно-кассовой техники, приобретенной налогоплательщиком для осуществления водителем или кондуктором расчетов в салоне транспортного средства при реализации проездных документов (билетов) и талонов для проезда в общественном транспорте;</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оказания помощи акционерному обществу «Федеральная пассажирская компания» в части, касающейся возмещения отдельных затрат на оплату времени простоя и компенсации недополученных доходов вследствие государственного регулирования тарифов на перевозки пассажиров в плацкартных и общих вагонах в связи с ограничением железнодорожного сообщения;</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возможности компенсации транспортным компаниям расходов, связанных с нахождением порожних вагонов на железнодорожных путях вне перевозочного процесса, а также сопутствующих платежей и сборов при направлении вагонов в вынужденный простой;</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предоставления российским стивидорным компаниям, осуществляющим свою деятельность в морских портах, права пересматривать тариф на собственные услуги с учетом изменения курса рубля.</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Доклад – до 10 июня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б) представить предложения:</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о продлении срока действия мер государственной поддержки ранее заключенных лизинговых сделок, предметом которых являются морские и речные суда, построенные на российских верфях, в том числе предусматривающих компенсацию части лизинговых платежей;</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о предоставлении лизинговыми компаниями до 31 декабря 2020 г. отсрочки по уплате лизинговых платежей по договорам лизинга автобусов, трамваев и троллейбусов с одновременным предоставлением таким компаниям отсрочки по уплате суммы основного долга и начисленных процентов по кредитным договорам, заключенным с российскими кредитными организациями;</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о выделении из федерального бюджета бюджетных ассигнований в объеме 5,8 млрд. рублей на компенсацию лизинговым компаниям части недополученных ими доходов в связи с предоставлением отсрочки по уплате лизинговых платежей;</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о возмещении в 2020 и 2021 годах налогоплательщикам акциза на бункерное топливо, предназначенное для заправки водных судов, непосредственно после его приобретения (при условии предоставления банковской гарантии);</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 xml:space="preserve">о необходимости докапитализации лизинговых компаний с государственным участием, осуществляющих деятельность в сфере судостроения, за счет средств </w:t>
      </w:r>
      <w:r w:rsidRPr="00C86B1D">
        <w:rPr>
          <w:rFonts w:ascii="Arial" w:hAnsi="Arial" w:cs="Arial"/>
          <w:color w:val="020C22"/>
          <w:sz w:val="24"/>
          <w:szCs w:val="24"/>
          <w:lang w:eastAsia="ru-RU"/>
        </w:rPr>
        <w:lastRenderedPageBreak/>
        <w:t>федерального бюджета в целях снижения платежей в отношении судов, построенных российскими судостроительными организациями, а также установления фиксированного размера этих платежей;</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о мерах финансовой поддержки за счет средств федерального бюджета автотранспортных предприятий, предоставляемой для компенсации части лизинговых платежей по договорам лизинга грузовых автотранспортных средств, а также лизинговых компаний, предоставивших таким предприятиям отсрочку по уплате лизинговых платежей по указанным договорам;</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о предоставлении российским кредитным организациям мер государственной поддержки, в том числе субсидий из федерального бюджета на возмещение недополученных ими доходов по кредитам, выданным в 2020 году системообразующим организациям на пополнение оборотных средств, с учетом сезонного характера деятельности организаций морского пассажирского и внутреннего водного транспорта;</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в) рассмотреть вопрос об упрощении правил предоставления государственных гарантий Российской Федерации по кредитам, привлекаемым организациями транспорта в рамках мер, направленных на решение неотложных задач по обеспечению устойчивости экономического развития.</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Срок – 1 июля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Ответственные: Мишустин М.В., Шохин А.Н.</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3. Правительству Российской Федерации совместно с Банком России принять решения, обеспечивающие размещение в 2020 году бессрочных облигаций открытого акционерного общества «Российские железные дороги» на общую сумму 370 млрд. рублей, в целях финансирования инвестиционной программы названного акционерного общества и акционерного общества ’'Федеральная пассажирская компания». При необходимости внести изменения в нормативные правовые акты.</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Срок – 15 июня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Ответственные: Мишустин М.В., Набиуллина Э.С.</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4. Минтрансу России совместно с Роспотребнадзором определить перечень необходимых и достаточных требований, направленных на обеспечение безопасного функционирования транспортного комплекса, разработать рекомендации по санитарно-противоэпидемическим мероприятиям при перевозке пассажиров различными видами транспорта и на объектах транспортной инфраструктуры и по организации санитарного контроля.</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Срок – 1 июня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Ответственные: Дитрих Е.И., Попова А.Ю.</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5. МИДу России оказать содействие транспортным компаниям по оформлению консульскими учреждениями иностранных государств в Российской Федерации виз российским гражданам – водителям транспортных средств, осуществляющим международные автомобильные перевозки, членам экипажей морских, речных и воздушных судов.</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Доклад – до 1 июня 2020 г. и до 1 сентября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Ответственный: Лавров С.В.</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6. Правительству Российской Федерации подготовить совместно с органами исполнительной власти субъектов Российской Федерации и представить предложения:</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а) об установлении с 2021 года ставки налога на имущество организаций, применяемой в отношении объектов железнодорожной инфраструктуры, в размере 1,6 процента;</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б) о возможности временного снижения ставок транспортного налога, применяемых в отношении транспортных средств, осуществляющих грузовые автомобильные перевозки;</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в) о мерах по восстановлению внутреннего туризма.</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Срок – 10 августа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lastRenderedPageBreak/>
        <w:t>Ответственные: Мишустин М.В., высшие должностные лица (руководители высших исполнительных органов государственной власти) субъектов Российской Федерации.</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7. Рекомендовать высшим должностным лицам (руководителям высших исполнительных органов государственной власти) субъектов Российской Федерации предусмотреть (в рамках региональных программ поддержки бизнеса) меры поддержки организаций, осуществляющих деятельность по перевозке пассажиров транспортом общего пользования на территориях субъектов Российской Федерации во всех видах сообщения, туристские перевозки водным транспортом, а также эксплуатацию автовокзалов и автостанций.</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Доклад – до 15 июня 2020 г. и до 1 сентября 2020 г.</w:t>
      </w:r>
    </w:p>
    <w:p w:rsidR="00C86B1D" w:rsidRPr="00C86B1D" w:rsidRDefault="00C86B1D" w:rsidP="00C86B1D">
      <w:pPr>
        <w:shd w:val="clear" w:color="auto" w:fill="FEFEFE"/>
        <w:spacing w:after="0" w:line="240" w:lineRule="auto"/>
        <w:ind w:firstLine="567"/>
        <w:jc w:val="both"/>
        <w:rPr>
          <w:rFonts w:ascii="Arial" w:hAnsi="Arial" w:cs="Arial"/>
          <w:color w:val="020C22"/>
          <w:sz w:val="24"/>
          <w:szCs w:val="24"/>
          <w:lang w:eastAsia="ru-RU"/>
        </w:rPr>
      </w:pPr>
      <w:r w:rsidRPr="00C86B1D">
        <w:rPr>
          <w:rFonts w:ascii="Arial" w:hAnsi="Arial" w:cs="Arial"/>
          <w:color w:val="020C22"/>
          <w:sz w:val="24"/>
          <w:szCs w:val="24"/>
          <w:lang w:eastAsia="ru-RU"/>
        </w:rPr>
        <w:t>Ответственные: высшие должностные лица (руководители высших исполнительных органов государственной власти) субъектов Российской Федерации.</w:t>
      </w:r>
    </w:p>
    <w:p w:rsidR="00C86B1D" w:rsidRPr="00C86B1D" w:rsidRDefault="00C86B1D" w:rsidP="00C86B1D">
      <w:pPr>
        <w:ind w:firstLine="567"/>
        <w:rPr>
          <w:rFonts w:ascii="Arial" w:hAnsi="Arial" w:cs="Arial"/>
          <w:sz w:val="24"/>
          <w:szCs w:val="24"/>
          <w:lang w:val="en-US"/>
        </w:rPr>
      </w:pPr>
      <w:r>
        <w:rPr>
          <w:rFonts w:ascii="Arial" w:hAnsi="Arial" w:cs="Arial"/>
          <w:sz w:val="24"/>
          <w:szCs w:val="24"/>
          <w:lang w:val="en-US"/>
        </w:rPr>
        <w:t>_____________________________________________________________________</w:t>
      </w:r>
    </w:p>
    <w:sectPr w:rsidR="00C86B1D" w:rsidRPr="00C86B1D" w:rsidSect="00C86B1D">
      <w:footerReference w:type="default" r:id="rId7"/>
      <w:pgSz w:w="11906" w:h="16838"/>
      <w:pgMar w:top="1134" w:right="850"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DC1" w:rsidRDefault="006E0DC1" w:rsidP="00C86B1D">
      <w:pPr>
        <w:spacing w:after="0" w:line="240" w:lineRule="auto"/>
      </w:pPr>
      <w:r>
        <w:separator/>
      </w:r>
    </w:p>
  </w:endnote>
  <w:endnote w:type="continuationSeparator" w:id="0">
    <w:p w:rsidR="006E0DC1" w:rsidRDefault="006E0DC1" w:rsidP="00C86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1D" w:rsidRPr="00C86B1D" w:rsidRDefault="00C86B1D">
    <w:pPr>
      <w:pStyle w:val="a7"/>
    </w:pPr>
    <w:r>
      <w:t>Источник</w:t>
    </w:r>
    <w:r w:rsidRPr="00C86B1D">
      <w:t xml:space="preserve">: </w:t>
    </w:r>
    <w:hyperlink r:id="rId1" w:history="1">
      <w:r w:rsidRPr="00C86B1D">
        <w:rPr>
          <w:color w:val="0000FF"/>
          <w:u w:val="single"/>
        </w:rPr>
        <w:t>http://www.kremlin.ru/acts/assignments/orders/63433</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DC1" w:rsidRDefault="006E0DC1" w:rsidP="00C86B1D">
      <w:pPr>
        <w:spacing w:after="0" w:line="240" w:lineRule="auto"/>
      </w:pPr>
      <w:r>
        <w:separator/>
      </w:r>
    </w:p>
  </w:footnote>
  <w:footnote w:type="continuationSeparator" w:id="0">
    <w:p w:rsidR="006E0DC1" w:rsidRDefault="006E0DC1" w:rsidP="00C86B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86B1D"/>
    <w:rsid w:val="00017293"/>
    <w:rsid w:val="003532AA"/>
    <w:rsid w:val="004B7CA1"/>
    <w:rsid w:val="006B5085"/>
    <w:rsid w:val="006E0DC1"/>
    <w:rsid w:val="00722500"/>
    <w:rsid w:val="00832725"/>
    <w:rsid w:val="008A2403"/>
    <w:rsid w:val="008F0535"/>
    <w:rsid w:val="00C86B1D"/>
    <w:rsid w:val="00D01A71"/>
    <w:rsid w:val="00DB71F3"/>
    <w:rsid w:val="00DE5F60"/>
    <w:rsid w:val="00F6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semiHidden/>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
    <w:name w:val="Стиль2"/>
    <w:basedOn w:val="a"/>
    <w:link w:val="20"/>
    <w:autoRedefine/>
    <w:qFormat/>
    <w:rsid w:val="00722500"/>
    <w:pPr>
      <w:spacing w:after="0" w:line="240" w:lineRule="auto"/>
      <w:ind w:left="709"/>
      <w:jc w:val="center"/>
    </w:pPr>
    <w:rPr>
      <w:rFonts w:ascii="Arial" w:hAnsi="Arial" w:cs="Arial"/>
      <w:b/>
      <w:caps/>
      <w:sz w:val="24"/>
      <w:szCs w:val="24"/>
    </w:rPr>
  </w:style>
  <w:style w:type="character" w:customStyle="1" w:styleId="20">
    <w:name w:val="Стиль2 Знак"/>
    <w:basedOn w:val="a0"/>
    <w:link w:val="2"/>
    <w:locked/>
    <w:rsid w:val="00722500"/>
    <w:rPr>
      <w:rFonts w:ascii="Arial" w:hAnsi="Arial" w:cs="Arial"/>
      <w:b/>
      <w:caps/>
      <w:sz w:val="24"/>
      <w:szCs w:val="24"/>
    </w:rPr>
  </w:style>
</w:styles>
</file>

<file path=word/webSettings.xml><?xml version="1.0" encoding="utf-8"?>
<w:webSettings xmlns:r="http://schemas.openxmlformats.org/officeDocument/2006/relationships" xmlns:w="http://schemas.openxmlformats.org/wordprocessingml/2006/main">
  <w:divs>
    <w:div w:id="1764180401">
      <w:marLeft w:val="0"/>
      <w:marRight w:val="0"/>
      <w:marTop w:val="0"/>
      <w:marBottom w:val="0"/>
      <w:divBdr>
        <w:top w:val="none" w:sz="0" w:space="0" w:color="auto"/>
        <w:left w:val="none" w:sz="0" w:space="0" w:color="auto"/>
        <w:bottom w:val="none" w:sz="0" w:space="0" w:color="auto"/>
        <w:right w:val="none" w:sz="0" w:space="0" w:color="auto"/>
      </w:divBdr>
    </w:div>
    <w:div w:id="1764180402">
      <w:marLeft w:val="0"/>
      <w:marRight w:val="0"/>
      <w:marTop w:val="0"/>
      <w:marBottom w:val="0"/>
      <w:divBdr>
        <w:top w:val="none" w:sz="0" w:space="0" w:color="auto"/>
        <w:left w:val="none" w:sz="0" w:space="0" w:color="auto"/>
        <w:bottom w:val="none" w:sz="0" w:space="0" w:color="auto"/>
        <w:right w:val="none" w:sz="0" w:space="0" w:color="auto"/>
      </w:divBdr>
    </w:div>
    <w:div w:id="1764180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emlin.ru/events/president/transcripts/633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remlin.ru/acts/assignments/orders/63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2017</Words>
  <Characters>11498</Characters>
  <Application>Microsoft Office Word</Application>
  <DocSecurity>0</DocSecurity>
  <Lines>95</Lines>
  <Paragraphs>26</Paragraphs>
  <ScaleCrop>false</ScaleCrop>
  <Company>NPO</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Ольга</cp:lastModifiedBy>
  <cp:revision>2</cp:revision>
  <dcterms:created xsi:type="dcterms:W3CDTF">2020-06-01T16:24:00Z</dcterms:created>
  <dcterms:modified xsi:type="dcterms:W3CDTF">2020-06-01T16:24:00Z</dcterms:modified>
</cp:coreProperties>
</file>